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"http://www.chinagwy.org/html/kszc/gj/201207/42_40642.html" \t "http://www.chinagwy.org/html/kszc/gj/201009/_blank"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shd w:val="clear" w:color="auto" w:fill="FFFFFF"/>
        </w:rPr>
        <w:t>体能测评实施规则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用一只手拿起一木块随即往回跑，跑到S1线前时交换木块，再跑回S2交换另一木块，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每名考生有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2次机会。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场地要求：通常在室内场地测试。如选择室外场地测试，需在天气状况许可的情况下进行，当天平均气温应在15~35摄氏度之间，无太阳直射、风力不超过3级。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D2A0C0D"/>
    <w:rsid w:val="0E60253C"/>
    <w:rsid w:val="184F7442"/>
    <w:rsid w:val="242268F6"/>
    <w:rsid w:val="334846A9"/>
    <w:rsid w:val="398E263C"/>
    <w:rsid w:val="5D487779"/>
    <w:rsid w:val="781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116</TotalTime>
  <ScaleCrop>false</ScaleCrop>
  <LinksUpToDate>false</LinksUpToDate>
  <CharactersWithSpaces>927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2020-11-19T09:05:00Z</dcterms:created>
  <dc:creator>钟炫虹</dc:creator>
  <cp:lastModifiedBy>梁祖桂</cp:lastModifiedBy>
  <dcterms:modified xsi:type="dcterms:W3CDTF">2022-02-22T02:42:36Z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