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桂林城乡建设控股集团有限公司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期望薪酬（元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5ED37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个人档案</w:t>
            </w:r>
          </w:p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是否遗失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692773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438BE6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00字）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11AE2D7A"/>
    <w:rsid w:val="1BE1358D"/>
    <w:rsid w:val="2DAF5323"/>
    <w:rsid w:val="31920F62"/>
    <w:rsid w:val="34F73D16"/>
    <w:rsid w:val="3D7E738B"/>
    <w:rsid w:val="5AEF0499"/>
    <w:rsid w:val="5CB07109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323</Characters>
  <Lines>0</Lines>
  <Paragraphs>0</Paragraphs>
  <TotalTime>34</TotalTime>
  <ScaleCrop>false</ScaleCrop>
  <LinksUpToDate>false</LinksUpToDate>
  <CharactersWithSpaces>440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CH</cp:lastModifiedBy>
  <dcterms:modified xsi:type="dcterms:W3CDTF">2025-04-21T09:33:10Z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21589427C7CB4492B0C2AA249DDC6CBE_13</vt:lpwstr>
  </property>
  <property fmtid="{D5CDD505-2E9C-101B-9397-08002B2CF9AE}" pid="4" name="KSOTemplateDocerSaveRecord">
    <vt:lpwstr>eyJoZGlkIjoiODJjNDVjMmY2M2QzYzRlNjI2NzMyMDYwYWRiYThhNDIiLCJ1c2VySWQiOiIxMjExNDU2ODYifQ==</vt:lpwstr>
  </property>
</Properties>
</file>